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7A5D" w14:textId="0CD2688C" w:rsidR="00A96828" w:rsidRDefault="00A96828" w:rsidP="00A96828">
      <w:pPr>
        <w:jc w:val="center"/>
      </w:pPr>
      <w:r>
        <w:rPr>
          <w:noProof/>
        </w:rPr>
        <w:drawing>
          <wp:inline distT="0" distB="0" distL="0" distR="0" wp14:anchorId="7F018D56" wp14:editId="6AA1676E">
            <wp:extent cx="3114675" cy="1117756"/>
            <wp:effectExtent l="0" t="0" r="0" b="635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843" cy="113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B390D" w14:textId="202917BA" w:rsidR="00AB259B" w:rsidRPr="00AB259B" w:rsidRDefault="00FB3B46" w:rsidP="00AB259B">
      <w:pPr>
        <w:rPr>
          <w:rFonts w:ascii="Aptos" w:hAnsi="Aptos"/>
          <w:sz w:val="24"/>
          <w:szCs w:val="24"/>
        </w:rPr>
      </w:pPr>
      <w:r w:rsidRPr="00AB259B">
        <w:rPr>
          <w:rFonts w:ascii="Aptos" w:hAnsi="Aptos"/>
          <w:sz w:val="24"/>
          <w:szCs w:val="24"/>
        </w:rPr>
        <w:t>Title:</w:t>
      </w:r>
      <w:r w:rsidR="0001534E" w:rsidRPr="00AB259B">
        <w:rPr>
          <w:rFonts w:ascii="Aptos" w:hAnsi="Aptos"/>
          <w:sz w:val="24"/>
          <w:szCs w:val="24"/>
        </w:rPr>
        <w:t xml:space="preserve"> Controller</w:t>
      </w:r>
      <w:r w:rsidR="00460401" w:rsidRPr="00AB259B">
        <w:rPr>
          <w:rFonts w:ascii="Aptos" w:hAnsi="Aptos"/>
          <w:sz w:val="24"/>
          <w:szCs w:val="24"/>
        </w:rPr>
        <w:br/>
        <w:t>Reports to: Executive Director</w:t>
      </w:r>
      <w:r w:rsidR="004603C2" w:rsidRPr="00AB259B">
        <w:rPr>
          <w:rFonts w:ascii="Aptos" w:hAnsi="Aptos"/>
          <w:sz w:val="24"/>
          <w:szCs w:val="24"/>
        </w:rPr>
        <w:t xml:space="preserve"> and Board of Directors</w:t>
      </w:r>
      <w:r w:rsidR="00460401" w:rsidRPr="00AB259B">
        <w:rPr>
          <w:rFonts w:ascii="Aptos" w:hAnsi="Aptos"/>
          <w:sz w:val="24"/>
          <w:szCs w:val="24"/>
        </w:rPr>
        <w:br/>
        <w:t>Classification: Full time, non-exempt</w:t>
      </w:r>
      <w:r w:rsidR="00460401" w:rsidRPr="00AB259B">
        <w:rPr>
          <w:rFonts w:ascii="Aptos" w:hAnsi="Aptos"/>
          <w:sz w:val="24"/>
          <w:szCs w:val="24"/>
        </w:rPr>
        <w:br/>
        <w:t>Salary: $</w:t>
      </w:r>
      <w:r w:rsidR="00CD4095" w:rsidRPr="00AB259B">
        <w:rPr>
          <w:rFonts w:ascii="Aptos" w:hAnsi="Aptos"/>
          <w:sz w:val="24"/>
          <w:szCs w:val="24"/>
        </w:rPr>
        <w:t>60,000</w:t>
      </w:r>
      <w:r w:rsidR="00B3745C" w:rsidRPr="00AB259B">
        <w:rPr>
          <w:rFonts w:ascii="Aptos" w:hAnsi="Aptos"/>
          <w:sz w:val="24"/>
          <w:szCs w:val="24"/>
        </w:rPr>
        <w:t>-70,000</w:t>
      </w:r>
    </w:p>
    <w:p w14:paraId="35411E01" w14:textId="77777777" w:rsidR="00AB259B" w:rsidRDefault="00AB259B" w:rsidP="00AB259B">
      <w:pPr>
        <w:pStyle w:val="NormalWeb"/>
        <w:spacing w:before="280" w:beforeAutospacing="0" w:after="120" w:afterAutospacing="0"/>
      </w:pPr>
      <w:r>
        <w:rPr>
          <w:b/>
          <w:bCs/>
          <w:color w:val="1B365D"/>
          <w:sz w:val="28"/>
          <w:szCs w:val="28"/>
        </w:rPr>
        <w:t>Job Summary</w:t>
      </w:r>
    </w:p>
    <w:p w14:paraId="1E28DFD6" w14:textId="77777777" w:rsidR="00AB259B" w:rsidRDefault="00AB259B" w:rsidP="00AB259B">
      <w:pPr>
        <w:pStyle w:val="NormalWeb"/>
        <w:spacing w:after="120" w:afterAutospacing="0"/>
      </w:pPr>
      <w:r>
        <w:t>The Controller serves as the principal financial officer for the Arkansas Coalition Against Domestic Violence (ACADV). Managing annual revenues ranging from $1M to $4.5M, this critical role is responsible for the overall financial stewardship, fund accounting, and regulatory compliance of the statewide coalition.</w:t>
      </w:r>
    </w:p>
    <w:p w14:paraId="211FD58F" w14:textId="66C40D6A" w:rsidR="00AB259B" w:rsidRDefault="00AB259B" w:rsidP="00AB259B">
      <w:pPr>
        <w:pStyle w:val="NormalWeb"/>
        <w:spacing w:after="240" w:afterAutospacing="0"/>
      </w:pPr>
      <w:r>
        <w:t>As a solo accounting operation, this position offers a high degree of professional autonomy, a direct line of communication to executive leadership and the Board of Directors, and full stewardship of the organization's financial ecosystem.</w:t>
      </w:r>
    </w:p>
    <w:p w14:paraId="5D5086FE" w14:textId="77777777" w:rsidR="00AB259B" w:rsidRDefault="00AB259B" w:rsidP="00AB259B">
      <w:pPr>
        <w:pStyle w:val="NormalWeb"/>
        <w:spacing w:before="280" w:beforeAutospacing="0" w:after="120" w:afterAutospacing="0"/>
      </w:pPr>
      <w:r>
        <w:rPr>
          <w:b/>
          <w:bCs/>
          <w:color w:val="1B365D"/>
          <w:sz w:val="28"/>
          <w:szCs w:val="28"/>
        </w:rPr>
        <w:t>Core Responsibilities</w:t>
      </w:r>
    </w:p>
    <w:p w14:paraId="7557B961" w14:textId="77777777" w:rsidR="00AB259B" w:rsidRDefault="00AB259B" w:rsidP="00AB259B">
      <w:pPr>
        <w:pStyle w:val="NormalWeb"/>
        <w:spacing w:before="120" w:beforeAutospacing="0" w:after="60" w:afterAutospacing="0"/>
      </w:pPr>
      <w:r>
        <w:rPr>
          <w:b/>
          <w:bCs/>
          <w:color w:val="5C768D"/>
        </w:rPr>
        <w:t>1. Financial Control &amp; Board Reporting</w:t>
      </w:r>
    </w:p>
    <w:p w14:paraId="416FA8C9" w14:textId="77777777" w:rsidR="00AB259B" w:rsidRDefault="00AB259B" w:rsidP="00AB259B">
      <w:pPr>
        <w:pStyle w:val="NormalWeb"/>
        <w:spacing w:before="0" w:beforeAutospacing="0" w:after="4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Act as the key financial advisor to the Executive Director and the Board Treasurer, providing timely financial analysis, cash flow forecasting, and budget variance reports.</w:t>
      </w:r>
    </w:p>
    <w:p w14:paraId="73AB0C3F" w14:textId="77777777" w:rsidR="00AB259B" w:rsidRDefault="00AB259B" w:rsidP="00AB259B">
      <w:pPr>
        <w:pStyle w:val="NormalWeb"/>
        <w:spacing w:before="0" w:beforeAutospacing="0" w:after="4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Prepare, analyze, and deliver comprehensive monthly and annual financial statements to Leadership.</w:t>
      </w:r>
    </w:p>
    <w:p w14:paraId="0401B5F1" w14:textId="77777777" w:rsidR="00AB259B" w:rsidRDefault="00AB259B" w:rsidP="00AB259B">
      <w:pPr>
        <w:pStyle w:val="NormalWeb"/>
        <w:spacing w:before="0" w:beforeAutospacing="0" w:after="4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Lead the development of the annual organizational operating budget in collaboration with leadership.</w:t>
      </w:r>
    </w:p>
    <w:p w14:paraId="50AD8523" w14:textId="77777777" w:rsidR="00AB259B" w:rsidRDefault="00AB259B" w:rsidP="00AB259B">
      <w:pPr>
        <w:pStyle w:val="NormalWeb"/>
        <w:spacing w:before="120" w:beforeAutospacing="0" w:after="60" w:afterAutospacing="0"/>
      </w:pPr>
      <w:r>
        <w:rPr>
          <w:b/>
          <w:bCs/>
          <w:color w:val="5C768D"/>
        </w:rPr>
        <w:t>2. Fund Accounting &amp; Coalition Grant Management</w:t>
      </w:r>
    </w:p>
    <w:p w14:paraId="2BD97E76" w14:textId="77777777" w:rsidR="00AB259B" w:rsidRDefault="00AB259B" w:rsidP="00AB259B">
      <w:pPr>
        <w:pStyle w:val="NormalWeb"/>
        <w:spacing w:before="0" w:beforeAutospacing="0" w:after="4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Manage the organization's fund accounting structure, accurately tracking and allocating revenue, restrictions, and expenditures across federal, state, and private grant streams.</w:t>
      </w:r>
    </w:p>
    <w:p w14:paraId="51D53A2D" w14:textId="77777777" w:rsidR="00AB259B" w:rsidRDefault="00AB259B" w:rsidP="00AB259B">
      <w:pPr>
        <w:pStyle w:val="NormalWeb"/>
        <w:spacing w:before="0" w:beforeAutospacing="0" w:after="4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Prepare and submit timely financial reports, reimbursement requests, and drawdowns for the coalition’s operational grants.</w:t>
      </w:r>
    </w:p>
    <w:p w14:paraId="7C25AADC" w14:textId="77777777" w:rsidR="00AB259B" w:rsidRDefault="00AB259B" w:rsidP="00AB259B">
      <w:pPr>
        <w:pStyle w:val="NormalWeb"/>
        <w:spacing w:before="0" w:beforeAutospacing="0" w:after="4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Ensure strict organizational compliance with Uniform Guidance (2 CFR 200) and all grantor-imposed restrictions.</w:t>
      </w:r>
    </w:p>
    <w:p w14:paraId="4C18A3F2" w14:textId="77777777" w:rsidR="00AB259B" w:rsidRDefault="00AB259B" w:rsidP="00AB259B">
      <w:pPr>
        <w:pStyle w:val="NormalWeb"/>
        <w:spacing w:before="120" w:beforeAutospacing="0" w:after="60" w:afterAutospacing="0"/>
      </w:pPr>
      <w:r>
        <w:rPr>
          <w:b/>
          <w:bCs/>
          <w:color w:val="5C768D"/>
        </w:rPr>
        <w:t>3. Full-Cycle Accounting &amp; Operations</w:t>
      </w:r>
    </w:p>
    <w:p w14:paraId="685655A6" w14:textId="77777777" w:rsidR="00AB259B" w:rsidRDefault="00AB259B" w:rsidP="00AB259B">
      <w:pPr>
        <w:pStyle w:val="NormalWeb"/>
        <w:spacing w:before="0" w:beforeAutospacing="0" w:after="40" w:afterAutospacing="0"/>
        <w:ind w:left="720"/>
      </w:pPr>
      <w:r>
        <w:rPr>
          <w:rFonts w:ascii="Symbol" w:hAnsi="Symbol"/>
        </w:rPr>
        <w:lastRenderedPageBreak/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Execute all day-to-day accounting functions, including Accounts Payable (vendor invoices and staff travel/expense reimbursements) and Accounts Receivable.</w:t>
      </w:r>
    </w:p>
    <w:p w14:paraId="5320C03B" w14:textId="77777777" w:rsidR="00AB259B" w:rsidRDefault="00AB259B" w:rsidP="00AB259B">
      <w:pPr>
        <w:pStyle w:val="NormalWeb"/>
        <w:spacing w:before="0" w:beforeAutospacing="0" w:after="4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Oversee and process semi-monthly payroll, including accurate allocation of labor expenses across various grants, retirement contributions, and tax withholdings.</w:t>
      </w:r>
    </w:p>
    <w:p w14:paraId="2A7B8C19" w14:textId="77777777" w:rsidR="00AB259B" w:rsidRDefault="00AB259B" w:rsidP="00AB259B">
      <w:pPr>
        <w:pStyle w:val="NormalWeb"/>
        <w:spacing w:before="0" w:beforeAutospacing="0" w:after="4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Perform month-end and year-end closing processes, including bank reconciliations, prepaid expenses, and journal entries.</w:t>
      </w:r>
    </w:p>
    <w:p w14:paraId="60BA6DCD" w14:textId="77777777" w:rsidR="00AB259B" w:rsidRDefault="00AB259B" w:rsidP="00AB259B">
      <w:pPr>
        <w:pStyle w:val="NormalWeb"/>
        <w:spacing w:before="120" w:beforeAutospacing="0" w:after="60" w:afterAutospacing="0"/>
      </w:pPr>
      <w:r>
        <w:rPr>
          <w:b/>
          <w:bCs/>
          <w:color w:val="5C768D"/>
        </w:rPr>
        <w:t>4. Audit, Compliance, &amp; Internal Controls</w:t>
      </w:r>
    </w:p>
    <w:p w14:paraId="6B133FB1" w14:textId="77777777" w:rsidR="00AB259B" w:rsidRDefault="00AB259B" w:rsidP="00AB259B">
      <w:pPr>
        <w:pStyle w:val="NormalWeb"/>
        <w:spacing w:before="0" w:beforeAutospacing="0" w:after="4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Serve as the primary point of contact for external auditors and spearhead the preparation of the annual audit schedule</w:t>
      </w:r>
      <w:proofErr w:type="gramStart"/>
      <w:r>
        <w:t>. .</w:t>
      </w:r>
      <w:proofErr w:type="gramEnd"/>
    </w:p>
    <w:p w14:paraId="5C7F4A8E" w14:textId="77777777" w:rsidR="00AB259B" w:rsidRDefault="00AB259B" w:rsidP="00AB259B">
      <w:pPr>
        <w:pStyle w:val="NormalWeb"/>
        <w:spacing w:before="0" w:beforeAutospacing="0" w:after="4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Maintain and reinforce a robust system of internal controls to safeguard organizational assets, ensuring GAAP and nonprofit accounting standards are met.</w:t>
      </w:r>
    </w:p>
    <w:p w14:paraId="1A5C2119" w14:textId="77777777" w:rsidR="00AB259B" w:rsidRDefault="00AB259B" w:rsidP="00AB259B">
      <w:pPr>
        <w:pStyle w:val="NormalWeb"/>
        <w:spacing w:before="0" w:beforeAutospacing="0" w:after="4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Maintain organized financial records and audit trails in compliance with state and federal retention guidelines.</w:t>
      </w:r>
    </w:p>
    <w:p w14:paraId="5B6E8B0E" w14:textId="77777777" w:rsidR="00AB259B" w:rsidRDefault="00AB259B" w:rsidP="00AB259B">
      <w:pPr>
        <w:pStyle w:val="NormalWeb"/>
        <w:spacing w:before="280" w:beforeAutospacing="0" w:after="120" w:afterAutospacing="0"/>
      </w:pPr>
      <w:r>
        <w:rPr>
          <w:b/>
          <w:bCs/>
          <w:color w:val="1B365D"/>
          <w:sz w:val="28"/>
          <w:szCs w:val="28"/>
        </w:rPr>
        <w:t>Qualifications &amp; Experience</w:t>
      </w:r>
    </w:p>
    <w:p w14:paraId="3AD98329" w14:textId="77777777" w:rsidR="00AB259B" w:rsidRDefault="00AB259B" w:rsidP="00AB259B">
      <w:pPr>
        <w:pStyle w:val="NormalWeb"/>
        <w:spacing w:before="0" w:beforeAutospacing="0" w:after="6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rPr>
          <w:b/>
          <w:bCs/>
        </w:rPr>
        <w:t>Education:</w:t>
      </w:r>
      <w:r>
        <w:t xml:space="preserve"> </w:t>
      </w:r>
      <w:proofErr w:type="gramStart"/>
      <w:r>
        <w:t>Bachelor’s degree in Accounting</w:t>
      </w:r>
      <w:proofErr w:type="gramEnd"/>
      <w:r>
        <w:t>, Finance, or a closely related field required.</w:t>
      </w:r>
    </w:p>
    <w:p w14:paraId="45898506" w14:textId="77777777" w:rsidR="00AB259B" w:rsidRDefault="00AB259B" w:rsidP="00AB259B">
      <w:pPr>
        <w:pStyle w:val="NormalWeb"/>
        <w:spacing w:before="0" w:beforeAutospacing="0" w:after="6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rPr>
          <w:b/>
          <w:bCs/>
        </w:rPr>
        <w:t>Certification:</w:t>
      </w:r>
      <w:r>
        <w:t xml:space="preserve"> CPA or Certified Non-Profit Accounting Professional (CNAP) designation is a </w:t>
      </w:r>
      <w:proofErr w:type="gramStart"/>
      <w:r>
        <w:t>plus, but</w:t>
      </w:r>
      <w:proofErr w:type="gramEnd"/>
      <w:r>
        <w:t xml:space="preserve"> not required.</w:t>
      </w:r>
    </w:p>
    <w:p w14:paraId="47C11BCF" w14:textId="77777777" w:rsidR="00AB259B" w:rsidRDefault="00AB259B" w:rsidP="00AB259B">
      <w:pPr>
        <w:pStyle w:val="NormalWeb"/>
        <w:spacing w:before="0" w:beforeAutospacing="0" w:after="6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rPr>
          <w:b/>
          <w:bCs/>
        </w:rPr>
        <w:t>Experience:</w:t>
      </w:r>
      <w:r>
        <w:t xml:space="preserve"> 3–5 years of progressive accounting experience. Direct experience in nonprofit fund accounting, government grant compliance, or public accounting audit is highly preferred.</w:t>
      </w:r>
    </w:p>
    <w:p w14:paraId="5654ABDD" w14:textId="77777777" w:rsidR="00AB259B" w:rsidRDefault="00AB259B" w:rsidP="00AB259B">
      <w:pPr>
        <w:pStyle w:val="NormalWeb"/>
        <w:spacing w:before="0" w:beforeAutospacing="0" w:after="6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rPr>
          <w:b/>
          <w:bCs/>
        </w:rPr>
        <w:t>Technical Skills:</w:t>
      </w:r>
      <w:r>
        <w:t xml:space="preserve"> Advanced proficiency in QuickBooks Online and Microsoft Excel (pivot tables, VLOOKUPs, etc.) is required.</w:t>
      </w:r>
    </w:p>
    <w:p w14:paraId="09522B0F" w14:textId="77777777" w:rsidR="00AB259B" w:rsidRDefault="00AB259B" w:rsidP="00AB259B">
      <w:pPr>
        <w:pStyle w:val="NormalWeb"/>
        <w:spacing w:before="0" w:beforeAutospacing="0" w:after="6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rPr>
          <w:b/>
          <w:bCs/>
        </w:rPr>
        <w:t>Core Competencies:</w:t>
      </w:r>
      <w:r>
        <w:t xml:space="preserve"> Exceptional verbal and written communication skills, with the ability to translate complex financial data for non-financial stakeholders.</w:t>
      </w:r>
    </w:p>
    <w:p w14:paraId="304A95E6" w14:textId="77777777" w:rsidR="00AB259B" w:rsidRDefault="00AB259B" w:rsidP="00AB259B">
      <w:pPr>
        <w:pStyle w:val="NormalWeb"/>
        <w:spacing w:before="0" w:beforeAutospacing="0" w:after="6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rPr>
          <w:b/>
          <w:bCs/>
        </w:rPr>
        <w:t>Core Competencies:</w:t>
      </w:r>
      <w:r>
        <w:t xml:space="preserve"> Proven ability to work independently, manage competing deadlines, and exercise flawless professional judgment.</w:t>
      </w:r>
    </w:p>
    <w:p w14:paraId="38655BEA" w14:textId="77777777" w:rsidR="00AB259B" w:rsidRDefault="00AB259B" w:rsidP="00AB259B">
      <w:pPr>
        <w:pStyle w:val="NormalWeb"/>
        <w:spacing w:before="280" w:beforeAutospacing="0" w:after="120" w:afterAutospacing="0"/>
      </w:pPr>
      <w:r>
        <w:rPr>
          <w:b/>
          <w:bCs/>
          <w:color w:val="1B365D"/>
          <w:sz w:val="28"/>
          <w:szCs w:val="28"/>
        </w:rPr>
        <w:t>Working Conditions &amp; Physical Demands</w:t>
      </w:r>
    </w:p>
    <w:p w14:paraId="2384052A" w14:textId="77777777" w:rsidR="00AB259B" w:rsidRDefault="00AB259B" w:rsidP="00AB259B">
      <w:pPr>
        <w:pStyle w:val="NormalWeb"/>
        <w:spacing w:before="0" w:beforeAutospacing="0" w:after="6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Modern office environment located in downtown Little Rock.</w:t>
      </w:r>
    </w:p>
    <w:p w14:paraId="1AC6D7FA" w14:textId="77777777" w:rsidR="00AB259B" w:rsidRDefault="00AB259B" w:rsidP="00AB259B">
      <w:pPr>
        <w:pStyle w:val="NormalWeb"/>
        <w:spacing w:before="0" w:beforeAutospacing="0" w:after="6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Occasional out-of-town travel for statewide coalition meetings, national conferences, or professional development.</w:t>
      </w:r>
    </w:p>
    <w:p w14:paraId="595862BE" w14:textId="77777777" w:rsidR="00AB259B" w:rsidRDefault="00AB259B" w:rsidP="00AB259B">
      <w:pPr>
        <w:pStyle w:val="NormalWeb"/>
        <w:spacing w:before="0" w:beforeAutospacing="0" w:after="60" w:afterAutospacing="0"/>
        <w:ind w:left="720"/>
      </w:pPr>
      <w:r>
        <w:rPr>
          <w:rFonts w:ascii="Symbol" w:hAnsi="Symbol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General office working conditions with minimal physical demands.</w:t>
      </w:r>
    </w:p>
    <w:p w14:paraId="2ED0F375" w14:textId="77777777" w:rsidR="00AB259B" w:rsidRDefault="00AB259B" w:rsidP="00AB259B">
      <w:pPr>
        <w:pStyle w:val="NormalWeb"/>
        <w:spacing w:after="240" w:afterAutospacing="0"/>
      </w:pPr>
      <w:r>
        <w:t> </w:t>
      </w:r>
    </w:p>
    <w:p w14:paraId="2118A094" w14:textId="77777777" w:rsidR="00AB259B" w:rsidRDefault="00AB259B" w:rsidP="00AB259B">
      <w:pPr>
        <w:pStyle w:val="NormalWeb"/>
        <w:spacing w:before="240" w:beforeAutospacing="0" w:after="120" w:afterAutospacing="0"/>
      </w:pPr>
      <w:r>
        <w:rPr>
          <w:b/>
          <w:bCs/>
          <w:color w:val="5C768D"/>
        </w:rPr>
        <w:lastRenderedPageBreak/>
        <w:t xml:space="preserve">Additional Information: </w:t>
      </w:r>
      <w:r>
        <w:t>Must successfully pass a comprehensive criminal background check. All ACADV employees are expected to represent themselves and the organization with the highest level of professionalism and integrity. This job description is a general framework and may be updated to reflect evolving organizational needs.</w:t>
      </w:r>
    </w:p>
    <w:p w14:paraId="0D11299E" w14:textId="77777777" w:rsidR="00AB259B" w:rsidRDefault="00AB259B" w:rsidP="00AB259B">
      <w:pPr>
        <w:rPr>
          <w:sz w:val="28"/>
          <w:szCs w:val="28"/>
        </w:rPr>
      </w:pPr>
    </w:p>
    <w:p w14:paraId="632CAAFE" w14:textId="314254C7" w:rsidR="00AB259B" w:rsidRPr="003F1CBA" w:rsidRDefault="004417B7" w:rsidP="00AB259B">
      <w:pPr>
        <w:rPr>
          <w:rFonts w:ascii="Aptos" w:hAnsi="Aptos"/>
          <w:sz w:val="24"/>
          <w:szCs w:val="24"/>
        </w:rPr>
      </w:pPr>
      <w:r w:rsidRPr="003F1CBA">
        <w:rPr>
          <w:rFonts w:ascii="Aptos" w:hAnsi="Aptos"/>
          <w:sz w:val="24"/>
          <w:szCs w:val="24"/>
        </w:rPr>
        <w:t xml:space="preserve">Interested applicants send resume and cover letter to </w:t>
      </w:r>
      <w:hyperlink r:id="rId7" w:history="1">
        <w:r w:rsidRPr="003F1CBA">
          <w:rPr>
            <w:rStyle w:val="Hyperlink"/>
            <w:rFonts w:ascii="Aptos" w:hAnsi="Aptos"/>
            <w:sz w:val="24"/>
            <w:szCs w:val="24"/>
          </w:rPr>
          <w:t>bsanders@domesticpeace.com</w:t>
        </w:r>
      </w:hyperlink>
      <w:r w:rsidRPr="003F1CBA">
        <w:rPr>
          <w:rFonts w:ascii="Aptos" w:hAnsi="Aptos"/>
          <w:sz w:val="24"/>
          <w:szCs w:val="24"/>
        </w:rPr>
        <w:t xml:space="preserve"> </w:t>
      </w:r>
    </w:p>
    <w:sectPr w:rsidR="00AB259B" w:rsidRPr="003F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802D4"/>
    <w:multiLevelType w:val="hybridMultilevel"/>
    <w:tmpl w:val="F6D27BA0"/>
    <w:lvl w:ilvl="0" w:tplc="BFA6C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E66F10"/>
    <w:multiLevelType w:val="hybridMultilevel"/>
    <w:tmpl w:val="19563F30"/>
    <w:lvl w:ilvl="0" w:tplc="8542A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5862808">
    <w:abstractNumId w:val="0"/>
  </w:num>
  <w:num w:numId="2" w16cid:durableId="96615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28"/>
    <w:rsid w:val="00006A01"/>
    <w:rsid w:val="0001534E"/>
    <w:rsid w:val="00092414"/>
    <w:rsid w:val="001B2F68"/>
    <w:rsid w:val="001E468B"/>
    <w:rsid w:val="002075EB"/>
    <w:rsid w:val="00211AFC"/>
    <w:rsid w:val="002D017A"/>
    <w:rsid w:val="00305BEA"/>
    <w:rsid w:val="00327EA2"/>
    <w:rsid w:val="0033630C"/>
    <w:rsid w:val="003976E5"/>
    <w:rsid w:val="003C2F80"/>
    <w:rsid w:val="003F1CBA"/>
    <w:rsid w:val="00423441"/>
    <w:rsid w:val="004417B7"/>
    <w:rsid w:val="00447E3A"/>
    <w:rsid w:val="0045588D"/>
    <w:rsid w:val="004603C2"/>
    <w:rsid w:val="00460401"/>
    <w:rsid w:val="00493EFE"/>
    <w:rsid w:val="004973D1"/>
    <w:rsid w:val="00570A32"/>
    <w:rsid w:val="005F10EE"/>
    <w:rsid w:val="00606107"/>
    <w:rsid w:val="007603E4"/>
    <w:rsid w:val="007E0D57"/>
    <w:rsid w:val="00803741"/>
    <w:rsid w:val="00856900"/>
    <w:rsid w:val="00872111"/>
    <w:rsid w:val="00873B04"/>
    <w:rsid w:val="008D42BA"/>
    <w:rsid w:val="00940394"/>
    <w:rsid w:val="009A1B08"/>
    <w:rsid w:val="009B228B"/>
    <w:rsid w:val="00A3066E"/>
    <w:rsid w:val="00A96828"/>
    <w:rsid w:val="00AB259B"/>
    <w:rsid w:val="00B3745C"/>
    <w:rsid w:val="00BC6364"/>
    <w:rsid w:val="00BD296B"/>
    <w:rsid w:val="00BF0C4D"/>
    <w:rsid w:val="00C36235"/>
    <w:rsid w:val="00C5261F"/>
    <w:rsid w:val="00C87FE6"/>
    <w:rsid w:val="00C957D6"/>
    <w:rsid w:val="00CC5A34"/>
    <w:rsid w:val="00CD4095"/>
    <w:rsid w:val="00CE0E18"/>
    <w:rsid w:val="00D73A57"/>
    <w:rsid w:val="00E11754"/>
    <w:rsid w:val="00E51B7F"/>
    <w:rsid w:val="00EB5042"/>
    <w:rsid w:val="00F03D8F"/>
    <w:rsid w:val="00F31C36"/>
    <w:rsid w:val="00F704D6"/>
    <w:rsid w:val="00F75014"/>
    <w:rsid w:val="00FB3B46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A132"/>
  <w15:chartTrackingRefBased/>
  <w15:docId w15:val="{65751599-E71D-440F-94A0-55CCD79C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0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B259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anders@domesticpea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Goodrich</dc:creator>
  <cp:keywords/>
  <dc:description/>
  <cp:lastModifiedBy>Beth Sanders</cp:lastModifiedBy>
  <cp:revision>4</cp:revision>
  <cp:lastPrinted>2023-10-25T14:01:00Z</cp:lastPrinted>
  <dcterms:created xsi:type="dcterms:W3CDTF">2026-07-01T17:30:00Z</dcterms:created>
  <dcterms:modified xsi:type="dcterms:W3CDTF">2026-07-01T18:27:00Z</dcterms:modified>
</cp:coreProperties>
</file>